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7D" w:rsidRDefault="008D4B1C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нарушения, выявленные Управлением Роскомнадзора по Саратовской области за 9 месяцев </w:t>
      </w:r>
      <w:r w:rsidR="00CD3A01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</w:t>
      </w:r>
    </w:p>
    <w:p w:rsidR="002A557D" w:rsidRDefault="002A557D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20"/>
        <w:gridCol w:w="1625"/>
        <w:gridCol w:w="2332"/>
        <w:gridCol w:w="3339"/>
      </w:tblGrid>
      <w:tr w:rsidR="002A557D">
        <w:trPr>
          <w:cantSplit/>
          <w:tblHeader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2A557D">
        <w:trPr>
          <w:cantSplit/>
          <w:trHeight w:val="666"/>
        </w:trPr>
        <w:tc>
          <w:tcPr>
            <w:tcW w:w="10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2A557D">
            <w:pPr>
              <w:jc w:val="center"/>
              <w:rPr>
                <w:b/>
              </w:rPr>
            </w:pPr>
          </w:p>
          <w:p w:rsidR="002A557D" w:rsidRDefault="008D4B1C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2A557D" w:rsidRDefault="008D4B1C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B612E5">
              <w:rPr>
                <w:b/>
              </w:rPr>
              <w:t>231</w:t>
            </w:r>
            <w:r>
              <w:rPr>
                <w:b/>
              </w:rPr>
              <w:t>)</w:t>
            </w:r>
          </w:p>
          <w:p w:rsidR="002A557D" w:rsidRDefault="002A557D">
            <w:pPr>
              <w:jc w:val="center"/>
              <w:rPr>
                <w:b/>
              </w:rPr>
            </w:pPr>
          </w:p>
        </w:tc>
      </w:tr>
      <w:tr w:rsidR="002A557D">
        <w:trPr>
          <w:cantSplit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 w:rsidP="00B612E5">
            <w:pPr>
              <w:jc w:val="center"/>
            </w:pPr>
            <w:r>
              <w:t xml:space="preserve"> </w:t>
            </w:r>
            <w:r w:rsidR="00B612E5">
              <w:rPr>
                <w:bCs/>
              </w:rPr>
              <w:t xml:space="preserve">Нарушение ст. 11 </w:t>
            </w:r>
            <w:r w:rsidR="00B612E5">
              <w:t xml:space="preserve">Закона «О СМИ» - </w:t>
            </w:r>
            <w:proofErr w:type="spellStart"/>
            <w:r w:rsidR="00B612E5" w:rsidRPr="00B612E5">
              <w:t>Неуведомление</w:t>
            </w:r>
            <w:proofErr w:type="spellEnd"/>
            <w:r w:rsidR="00B612E5">
              <w:t xml:space="preserve"> регистрирующего органа</w:t>
            </w:r>
            <w:r w:rsidR="00B612E5" w:rsidRPr="00B612E5"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B612E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B612E5" w:rsidP="00B612E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23</w:t>
            </w:r>
            <w:r w:rsidR="008D4B1C">
              <w:rPr>
                <w:b/>
              </w:rPr>
              <w:t>,</w:t>
            </w:r>
            <w:r>
              <w:rPr>
                <w:b/>
              </w:rPr>
              <w:t>37</w:t>
            </w:r>
            <w:r w:rsidR="008D4B1C">
              <w:rPr>
                <w:b/>
                <w:lang w:val="en-US"/>
              </w:rPr>
              <w:t>%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57D" w:rsidRDefault="00B612E5">
            <w:pPr>
              <w:ind w:firstLine="709"/>
              <w:jc w:val="both"/>
            </w:pPr>
            <w:r>
              <w:t xml:space="preserve">В рамках проведения профилактических мероприятий представителям СМИ разъясняется порядок предоставления уведомлений об изменениях. Так же определены основные причины нарушения указанной нормы. Даны рекомендации по соблюдению </w:t>
            </w:r>
            <w:r w:rsidRPr="00B612E5">
              <w:t>ст. 11 Закона Российской Федерации "О средствах массовой информации" от 27.12.1991 № 2124-1</w:t>
            </w:r>
          </w:p>
          <w:p w:rsidR="002A557D" w:rsidRDefault="002A557D">
            <w:pPr>
              <w:ind w:firstLine="709"/>
              <w:jc w:val="both"/>
            </w:pPr>
          </w:p>
        </w:tc>
      </w:tr>
      <w:tr w:rsidR="002A557D">
        <w:trPr>
          <w:cantSplit/>
          <w:trHeight w:val="666"/>
        </w:trPr>
        <w:tc>
          <w:tcPr>
            <w:tcW w:w="10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2A557D">
            <w:pPr>
              <w:jc w:val="center"/>
              <w:rPr>
                <w:b/>
              </w:rPr>
            </w:pPr>
          </w:p>
          <w:p w:rsidR="002A557D" w:rsidRDefault="008D4B1C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2A557D" w:rsidRDefault="008D4B1C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A53F82">
              <w:rPr>
                <w:b/>
                <w:color w:val="000000" w:themeColor="text1"/>
              </w:rPr>
              <w:t>872</w:t>
            </w:r>
            <w:r>
              <w:rPr>
                <w:b/>
              </w:rPr>
              <w:t>)</w:t>
            </w:r>
          </w:p>
          <w:p w:rsidR="002A557D" w:rsidRDefault="002A557D">
            <w:pPr>
              <w:jc w:val="center"/>
              <w:rPr>
                <w:b/>
              </w:rPr>
            </w:pPr>
          </w:p>
        </w:tc>
      </w:tr>
      <w:tr w:rsidR="002A557D">
        <w:trPr>
          <w:cantSplit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jc w:val="center"/>
            </w:pPr>
            <w:r>
              <w:rPr>
                <w:bCs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A53F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807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 w:rsidP="00A53F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A53F82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,</w:t>
            </w:r>
            <w:r w:rsidR="00A53F82">
              <w:rPr>
                <w:b/>
                <w:color w:val="000000" w:themeColor="text1"/>
              </w:rPr>
              <w:t>55</w:t>
            </w:r>
            <w:r>
              <w:rPr>
                <w:b/>
                <w:color w:val="000000" w:themeColor="text1"/>
              </w:rPr>
              <w:t>%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57D" w:rsidRDefault="008D4B1C">
            <w:pPr>
              <w:ind w:firstLine="709"/>
              <w:jc w:val="both"/>
            </w:pPr>
            <w:r>
              <w:t>В отчетном периоде регулярно проводились совещания с представителями руководства филиалов ПАО «МТС», ПАО «МегаФон»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  <w:p w:rsidR="002A557D" w:rsidRDefault="002A557D">
            <w:pPr>
              <w:ind w:firstLine="709"/>
            </w:pPr>
          </w:p>
        </w:tc>
      </w:tr>
      <w:tr w:rsidR="002A557D">
        <w:trPr>
          <w:cantSplit/>
          <w:trHeight w:val="666"/>
        </w:trPr>
        <w:tc>
          <w:tcPr>
            <w:tcW w:w="102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2A557D" w:rsidRDefault="008D4B1C" w:rsidP="000169FD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0169FD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</w:tr>
      <w:tr w:rsidR="002A557D">
        <w:trPr>
          <w:cantSplit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Нарушение части 1 статьи 18.1 Федерального закона от 27.07.2006 № 152-ФЗ «О персональных данных» в части не принятия необходимых и достаточных мер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016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645B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8D4B1C">
              <w:rPr>
                <w:b/>
              </w:rPr>
              <w:t>%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2A557D" w:rsidRDefault="008D4B1C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2A557D" w:rsidRDefault="002A557D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</w:p>
        </w:tc>
      </w:tr>
      <w:tr w:rsidR="002A557D">
        <w:trPr>
          <w:cantSplit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Нарушение пункта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687 -  в части не обеспечения операторами, осуществляющими обработку персональных данных исполнения требования по информированию лиц, осуществляющих обработку персональных данных без использования средств автоматизации.</w:t>
            </w:r>
          </w:p>
          <w:p w:rsidR="002A557D" w:rsidRDefault="002A557D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016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645B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  <w:r w:rsidR="008D4B1C">
              <w:rPr>
                <w:b/>
              </w:rPr>
              <w:t>%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557D" w:rsidRDefault="008D4B1C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2A557D" w:rsidRDefault="008D4B1C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2A557D" w:rsidRDefault="002A557D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</w:p>
        </w:tc>
      </w:tr>
    </w:tbl>
    <w:p w:rsidR="002A557D" w:rsidRDefault="002A557D"/>
    <w:sectPr w:rsidR="002A557D" w:rsidSect="0082664F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557D"/>
    <w:rsid w:val="000169FD"/>
    <w:rsid w:val="000B661B"/>
    <w:rsid w:val="002A557D"/>
    <w:rsid w:val="0082664F"/>
    <w:rsid w:val="008645B1"/>
    <w:rsid w:val="00871671"/>
    <w:rsid w:val="008D4B1C"/>
    <w:rsid w:val="00A53F82"/>
    <w:rsid w:val="00A75711"/>
    <w:rsid w:val="00B612E5"/>
    <w:rsid w:val="00CD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styleId="a6">
    <w:name w:val="caption"/>
    <w:basedOn w:val="a"/>
    <w:qFormat/>
    <w:rsid w:val="0082664F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C47814"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C47814"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kascheevas</cp:lastModifiedBy>
  <cp:revision>15</cp:revision>
  <cp:lastPrinted>2017-04-11T06:03:00Z</cp:lastPrinted>
  <dcterms:created xsi:type="dcterms:W3CDTF">2020-01-27T09:25:00Z</dcterms:created>
  <dcterms:modified xsi:type="dcterms:W3CDTF">2020-01-28T04:48:00Z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